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6.png" ContentType="image/png"/>
  <Override PartName="/word/media/rId70.png" ContentType="image/png"/>
  <Override PartName="/word/media/rId57.png" ContentType="image/png"/>
  <Override PartName="/word/media/rId61.png" ContentType="image/png"/>
  <Override PartName="/word/media/rId75.png" ContentType="image/png"/>
  <Override PartName="/word/media/rId147.png" ContentType="image/png"/>
  <Override PartName="/word/media/rId157.png" ContentType="image/png"/>
  <Override PartName="/word/media/rId15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 
</w:t>
      </w:r>
      <w:r>
        <w:br/>
      </w:r>
      <m:oMath>
        <m:sSup>
          <m:e>
            <m:r>
              <m:t>​</m:t>
            </m:r>
          </m:e>
          <m:sup>
            <m:r>
              <m:t>2</m:t>
            </m:r>
          </m:sup>
        </m:sSup>
      </m:oMath>
      <w:r>
        <w:t xml:space="preserve"> </w:t>
      </w:r>
      <w:r>
        <w:t xml:space="preserve">Ecology and Evolution Research Centre, School of Biological, Earth and Environmental Sciences, University of New South Wales, Sydney, NSW, Australia 
</w:t>
      </w:r>
      <w:r>
        <w:br/>
      </w:r>
      <m:oMath>
        <m:sSup>
          <m:e>
            <m:r>
              <m:t>​</m:t>
            </m:r>
          </m:e>
          <m:sup>
            <m:r>
              <m:t>3</m:t>
            </m:r>
          </m:sup>
        </m:sSup>
      </m:oMath>
      <w:r>
        <w:t xml:space="preserve"> </w:t>
      </w:r>
      <w:r>
        <w:t xml:space="preserve">SOLES, University of Sydney, Sydney, NSW, Australia 
</w:t>
      </w:r>
      <w:r>
        <w:br/>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w:t>
      </w:r>
      <w:r>
        <w:t xml:space="preserve">. The implications of changes in variance could therefore have wide-reaching consequences for understanding the capacity for populations to persist in and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80"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w:t>
      </w:r>
      <w:hyperlink w:anchor="fig-2">
        <w:r>
          <w:rPr>
            <w:rStyle w:val="Hyperlink"/>
          </w:rPr>
          <w:t xml:space="preserve">Figure 2</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6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supplemental</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4</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cvrtrait"/>
          <w:p>
            <w:pPr>
              <w:pStyle w:val="Figure"/>
              <w:jc w:val="center"/>
            </w:pPr>
            <w:r>
              <w:drawing>
                <wp:inline>
                  <wp:extent cx="6680200" cy="2183911"/>
                  <wp:effectExtent b="0" l="0" r="0" t="0"/>
                  <wp:docPr descr="" title="" id="62" name="Picture"/>
                  <a:graphic>
                    <a:graphicData uri="http://schemas.openxmlformats.org/drawingml/2006/picture">
                      <pic:pic>
                        <pic:nvPicPr>
                          <pic:cNvPr descr="ms_files/figure-docx/fig-cvrtrait-1.png" id="63" name="Picture"/>
                          <pic:cNvPicPr>
                            <a:picLocks noChangeArrowheads="1" noChangeAspect="1"/>
                          </pic:cNvPicPr>
                        </pic:nvPicPr>
                        <pic:blipFill>
                          <a:blip r:embed="rId61"/>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w:t>
            </w:r>
          </w:p>
          <w:bookmarkEnd w:id="64"/>
        </w:tc>
      </w:tr>
    </w:tbl>
    <w:bookmarkEnd w:id="65"/>
    <w:bookmarkStart w:id="74"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opportunity for selection (i.e., the change in physiological variability) among terrestrial, marine or freshwater populations (</w:t>
      </w:r>
      <w:hyperlink w:anchor="fig-4">
        <w:r>
          <w:rPr>
            <w:rStyle w:val="Hyperlink"/>
          </w:rPr>
          <w:t xml:space="preserve">Figure 6</w:t>
        </w:r>
      </w:hyperlink>
      <w:r>
        <w:t xml:space="preserve">;</w:t>
      </w:r>
      <w:r>
        <w:t xml:space="preserve"> </w:t>
      </w:r>
      <w:hyperlink w:anchor="fig-5">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69" w:name="fig-4"/>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4-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 w:name="fig-5"/>
          <w:p>
            <w:pPr>
              <w:pStyle w:val="Figure"/>
              <w:jc w:val="center"/>
            </w:pPr>
            <w:r>
              <w:drawing>
                <wp:inline>
                  <wp:extent cx="6680200" cy="7087529"/>
                  <wp:effectExtent b="0" l="0" r="0" t="0"/>
                  <wp:docPr descr="" title="" id="71" name="Picture"/>
                  <a:graphic>
                    <a:graphicData uri="http://schemas.openxmlformats.org/drawingml/2006/picture">
                      <pic:pic>
                        <pic:nvPicPr>
                          <pic:cNvPr descr="ms_files/figure-docx/fig-5-1.png" id="72" name="Picture"/>
                          <pic:cNvPicPr>
                            <a:picLocks noChangeArrowheads="1" noChangeAspect="1"/>
                          </pic:cNvPicPr>
                        </pic:nvPicPr>
                        <pic:blipFill>
                          <a:blip r:embed="rId7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73"/>
        </w:tc>
      </w:tr>
    </w:tbl>
    <w:bookmarkEnd w:id="74"/>
    <w:bookmarkStart w:id="79"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8</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8</w:t>
        </w:r>
      </w:hyperlink>
      <w:r>
        <w:t xml:space="preserve"> </w:t>
      </w:r>
      <w:r>
        <w:t xml:space="preserve">D). Out of the 188 populations variance was predicted to decrease in 96.81%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0.86% change in variance for freshwater systems (95% CI: -5.63 to 6.92%,</w:t>
      </w:r>
      <w:r>
        <w:t xml:space="preserve"> </w:t>
      </w:r>
      <m:oMath>
        <m:sSub>
          <m:e>
            <m:r>
              <m:t>p</m:t>
            </m:r>
          </m:e>
          <m:sub>
            <m:r>
              <m:t>M</m:t>
            </m:r>
            <m:r>
              <m:t>C</m:t>
            </m:r>
            <m:r>
              <m:t>M</m:t>
            </m:r>
            <m:r>
              <m:t>C</m:t>
            </m:r>
          </m:sub>
        </m:sSub>
      </m:oMath>
      <w:r>
        <w:t xml:space="preserve"> </w:t>
      </w:r>
      <w:r>
        <w:t xml:space="preserve">= 0.69), whereas we expect a 3.32% reduction in variance for marine systems (95% CI: -7.03 to 0.75%,</w:t>
      </w:r>
      <w:r>
        <w:t xml:space="preserve"> </w:t>
      </w:r>
      <m:oMath>
        <m:sSub>
          <m:e>
            <m:r>
              <m:t>p</m:t>
            </m:r>
          </m:e>
          <m:sub>
            <m:r>
              <m:t>M</m:t>
            </m:r>
            <m:r>
              <m:t>C</m:t>
            </m:r>
            <m:r>
              <m:t>M</m:t>
            </m:r>
            <m:r>
              <m:t>C</m:t>
            </m:r>
          </m:sub>
        </m:sSub>
      </m:oMath>
      <w:r>
        <w:t xml:space="preserve"> </w:t>
      </w:r>
      <w:r>
        <w:t xml:space="preserve">= 0.28) and a 12.84% reduction in variance for terrestrial systems (95% CI: -20.2 to -6.61%,</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8" w:name="fig-fig6"/>
          <w:p>
            <w:pPr>
              <w:pStyle w:val="Figure"/>
              <w:jc w:val="center"/>
            </w:pPr>
            <w:r>
              <w:drawing>
                <wp:inline>
                  <wp:extent cx="6680200" cy="8650002"/>
                  <wp:effectExtent b="0" l="0" r="0" t="0"/>
                  <wp:docPr descr="" title="" id="76" name="Picture"/>
                  <a:graphic>
                    <a:graphicData uri="http://schemas.openxmlformats.org/drawingml/2006/picture">
                      <pic:pic>
                        <pic:nvPicPr>
                          <pic:cNvPr descr="ms_files/figure-docx/fig-fig6-1.png" id="77" name="Picture"/>
                          <pic:cNvPicPr>
                            <a:picLocks noChangeArrowheads="1" noChangeAspect="1"/>
                          </pic:cNvPicPr>
                        </pic:nvPicPr>
                        <pic:blipFill>
                          <a:blip r:embed="rId7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8"/>
        </w:tc>
      </w:tr>
    </w:tbl>
    <w:bookmarkEnd w:id="79"/>
    <w:bookmarkEnd w:id="80"/>
    <w:bookmarkStart w:id="87"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impacts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the opportunity for selection is expected to decrease for ectotherms, but particularly so for terrestrial ectotherms (~28%). Decreases in variance in physiological rates is larger than the expected benefits from acclimation in marine and terrestrial ectotherms (marine: 9% acclimation vs. 15% reduction in variance; terrestrial: no acclimation vs 28% reduction in variance). Such effects are expected to result in a decrease in the variability in physiologcial rates for marine and terrestrial ectotherms between ~4-13% under future climate change projections.</w:t>
      </w:r>
    </w:p>
    <w:bookmarkStart w:id="81" w:name="X657ec10c391aa8094cd939cca96c3ef7faa3f80"/>
    <w:p>
      <w:pPr>
        <w:pStyle w:val="Heading3"/>
      </w:pPr>
      <w:r>
        <w:rPr>
          <w:bCs/>
          <w:b/>
        </w:rPr>
        <w:t xml:space="preserve">Acclimation capacity and opportunity for selection is limited in response to climate change</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r>
        <w:t xml:space="preserve"> </w:t>
      </w:r>
      <w:r>
        <w:t xml:space="preserve">assuming a fraction of this variation is heritable and/or it weakens selection</w:t>
      </w:r>
    </w:p>
    <w:bookmarkEnd w:id="81"/>
    <w:bookmarkStart w:id="82" w:name="X35427b2c82469f3078f1834d2fe3071385d2c0f"/>
    <w:p>
      <w:pPr>
        <w:pStyle w:val="Heading3"/>
      </w:pPr>
      <w:r>
        <w:rPr>
          <w:bCs/>
          <w:b/>
        </w:rPr>
        <w:t xml:space="preserve">No signature of past climate on capacity for acclimation or opportunity for selection</w:t>
      </w:r>
    </w:p>
    <w:p>
      <w:pPr>
        <w:pStyle w:val="FirstParagraph"/>
      </w:pPr>
      <w:r>
        <w:t xml:space="preserve">Theoretical models predict that plasticity should evolve in populatons experiencing greater environmental variability (spatial or temporal), particularly if oscillations are predictable over time making cues more reliable</w:t>
      </w:r>
      <w:r>
        <w:t xml:space="preserve"> </w:t>
      </w:r>
      <w:r>
        <w:t xml:space="preserve">(Lande 2009; Chevin</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heterogenetiy in terrestrial ectotherms suggests that plasticity should be more likely evolve, however, we did not find evidence to this effect; possibly because of the lower predictability of thermal environments over time making cues unreliable</w:t>
      </w:r>
      <w:r>
        <w:t xml:space="preserve"> </w:t>
      </w:r>
      <w:r>
        <w:t xml:space="preserve">(Hendry 2016)</w:t>
      </w:r>
      <w:r>
        <w:t xml:space="preserve">. Empirical evidence properly testing these predictions, however, is scant.</w:t>
      </w:r>
      <w:r>
        <w:t xml:space="preserve"> </w:t>
      </w:r>
      <w:r>
        <w:t xml:space="preserve">Leung</w:t>
      </w:r>
      <w:r>
        <w:t xml:space="preserve"> </w:t>
      </w:r>
      <w:r>
        <w:rPr>
          <w:iCs/>
          <w:i/>
        </w:rPr>
        <w:t xml:space="preserve">et al.</w:t>
      </w:r>
      <w:r>
        <w:t xml:space="preserve"> </w:t>
      </w:r>
      <w:r>
        <w:t xml:space="preserve">(2020)</w:t>
      </w:r>
      <w:r>
        <w:t xml:space="preserve"> </w:t>
      </w:r>
      <w:r>
        <w:t xml:space="preserve">recently showed that greater plasticty in morphological traits did evolve in experimental algae populations, however, work in seed beetles. Our results suggest that such theoretical explanations may not be general but rather specific to the population, context and trait in question; a point emphaised by others.</w:t>
      </w:r>
    </w:p>
    <w:bookmarkEnd w:id="82"/>
    <w:bookmarkStart w:id="83" w:name="X8b678a72bb2e83263e85a2c9c585f524553e933"/>
    <w:p>
      <w:pPr>
        <w:pStyle w:val="Heading3"/>
      </w:pPr>
      <w:r>
        <w:rPr>
          <w:iCs/>
          <w:i/>
          <w:bCs/>
          <w:b/>
        </w:rPr>
        <w:t xml:space="preserve">Ecological consequences of reduced variation in physiological Rates</w:t>
      </w:r>
    </w:p>
    <w:p>
      <w:pPr>
        <w:pStyle w:val="FirstParagraph"/>
      </w:pPr>
      <w:r>
        <w:t xml:space="preserve">Variance in physiological rates decreases substantially at high temperatures with effects being especially pronouced in terrestrial ecosystems and for key traits such as metabolism and performance. Changes in variability in physiological rates, particularly energy demand, could have important consequences on the flow of energy within and between populations, communities and ecosystems that can have important consequences for population dynamics</w:t>
      </w:r>
      <w:r>
        <w:t xml:space="preserve"> </w:t>
      </w:r>
      <w:r>
        <w:t xml:space="preserve">(Hendry 2016)</w:t>
      </w:r>
      <w:r>
        <w:t xml:space="preserve">. More variable populations, genetically and/or phenotypically, are predicted to be associated with broader niches, reduced intraspecific competition, increasdd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Hendry 2016)</w:t>
      </w:r>
      <w:r>
        <w:t xml:space="preserve">. For examaple,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occilations compared to scenerios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ecotherms will likely face an onslaught of ecological and evolutionary challenges which will mean greater rates of extintion and reduced productivity – predictions already reinforced by a number of authorities . To date, however, an appreciation for the wide-reaching impacts changes in variance may have on populations and communities remains limited. Indeed, the ecological consequences of changes in physiological rate variance across aquatic and terrestrial ecosystems remain unclear. Such insight will require the development of theoretical models that better integrate intrapopulation variation into mechanistic physiological models or ones that better capture stochasticity such as individual based models.</w:t>
      </w:r>
    </w:p>
    <w:p>
      <w:pPr>
        <w:pStyle w:val="BodyText"/>
      </w:pPr>
      <w:r>
        <w:t xml:space="preserve">The dearth of empirical data demonstrating changes in variance paired with a lack of theoretical models</w:t>
      </w:r>
      <w:r>
        <w:t xml:space="preserve"> </w:t>
      </w:r>
      <w:r>
        <w:t xml:space="preserve">- buckley 2014, - Lawton 1991, - Nisbet</w:t>
      </w:r>
    </w:p>
    <w:bookmarkEnd w:id="83"/>
    <w:bookmarkStart w:id="84" w:name="X5501e781cf3248c8f3dbfce468905afd8050bc6"/>
    <w:p>
      <w:pPr>
        <w:pStyle w:val="Heading3"/>
      </w:pPr>
      <w:r>
        <w:rPr>
          <w:bCs/>
          <w:b/>
        </w:rPr>
        <w:t xml:space="preserve">Acute and acclimation responses of wild ectotherms are lower in warmer environments</w:t>
      </w:r>
    </w:p>
    <w:bookmarkEnd w:id="84"/>
    <w:bookmarkStart w:id="85" w:name="X8a73f35bbf30664905ee81de6774b7e0b74408a"/>
    <w:p>
      <w:pPr>
        <w:pStyle w:val="Heading3"/>
      </w:pPr>
      <w:r>
        <w:rPr>
          <w:bCs/>
          <w:b/>
        </w:rPr>
        <w:t xml:space="preserve">The opportunity for selection is expected to decrease for wild ectotherms under climate change</w:t>
      </w:r>
    </w:p>
    <w:bookmarkEnd w:id="85"/>
    <w:bookmarkStart w:id="86" w:name="limitations-and-future-directions"/>
    <w:p>
      <w:pPr>
        <w:pStyle w:val="Heading3"/>
      </w:pPr>
      <w:r>
        <w:rPr>
          <w:bCs/>
          <w:b/>
        </w:rPr>
        <w:t xml:space="preserve">Limitations and future directions</w:t>
      </w:r>
    </w:p>
    <w:p>
      <w:pPr>
        <w:pStyle w:val="FirstParagraph"/>
      </w:pPr>
      <w:r>
        <w:t xml:space="preserve">An enhanced knowledge of how variation in physiological rates vary across populations and species, and the degree to which they can be adjusted in response to the environment, may increase our ability to make more informed predcitions about ecological and evolutonary dynamics of natural populations</w:t>
      </w:r>
      <w:r>
        <w:t xml:space="preserve"> </w:t>
      </w:r>
      <w:r>
        <w:t xml:space="preserve">(Forsman 2015)</w:t>
      </w:r>
      <w:r>
        <w:t xml:space="preserve">.</w:t>
      </w:r>
    </w:p>
    <w:bookmarkEnd w:id="86"/>
    <w:bookmarkEnd w:id="87"/>
    <w:bookmarkStart w:id="146" w:name="references"/>
    <w:p>
      <w:pPr>
        <w:pStyle w:val="Heading2"/>
      </w:pPr>
      <w:r>
        <w:t xml:space="preserve">References</w:t>
      </w:r>
    </w:p>
    <w:p>
      <w:pPr>
        <w:pStyle w:val="FirstParagraph"/>
      </w:pPr>
    </w:p>
    <w:bookmarkStart w:id="145" w:name="refs"/>
    <w:bookmarkStart w:id="88"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8"/>
    <w:bookmarkStart w:id="89"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9"/>
    <w:bookmarkStart w:id="90"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90"/>
    <w:bookmarkStart w:id="91"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91"/>
    <w:bookmarkStart w:id="92"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92"/>
    <w:bookmarkStart w:id="93"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93"/>
    <w:bookmarkStart w:id="94"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4"/>
    <w:bookmarkStart w:id="95"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5"/>
    <w:bookmarkStart w:id="96"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6"/>
    <w:bookmarkStart w:id="97"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7"/>
    <w:bookmarkStart w:id="98"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8"/>
    <w:bookmarkStart w:id="99"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9"/>
    <w:bookmarkStart w:id="100"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100"/>
    <w:bookmarkStart w:id="101"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101"/>
    <w:bookmarkStart w:id="102"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102"/>
    <w:bookmarkStart w:id="103"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3"/>
    <w:bookmarkStart w:id="104"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4"/>
    <w:bookmarkStart w:id="105"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5"/>
    <w:bookmarkStart w:id="106"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6"/>
    <w:bookmarkStart w:id="10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7"/>
    <w:bookmarkStart w:id="108"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8"/>
    <w:bookmarkStart w:id="109"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09"/>
    <w:bookmarkStart w:id="110"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0"/>
    <w:bookmarkStart w:id="111"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1"/>
    <w:bookmarkStart w:id="112"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2"/>
    <w:bookmarkStart w:id="113"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3"/>
    <w:bookmarkStart w:id="11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14"/>
    <w:bookmarkStart w:id="115"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15"/>
    <w:bookmarkStart w:id="116"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16"/>
    <w:bookmarkStart w:id="117"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17"/>
    <w:bookmarkStart w:id="118"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18"/>
    <w:bookmarkStart w:id="119"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19"/>
    <w:bookmarkStart w:id="120"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0"/>
    <w:bookmarkStart w:id="121"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1"/>
    <w:bookmarkStart w:id="122"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22"/>
    <w:bookmarkStart w:id="123"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23"/>
    <w:bookmarkStart w:id="124"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24"/>
    <w:bookmarkStart w:id="125"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25"/>
    <w:bookmarkStart w:id="12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26"/>
    <w:bookmarkStart w:id="12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27"/>
    <w:bookmarkStart w:id="12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28"/>
    <w:bookmarkStart w:id="129"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29"/>
    <w:bookmarkStart w:id="130"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30"/>
    <w:bookmarkStart w:id="131"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31"/>
    <w:bookmarkStart w:id="132"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32"/>
    <w:bookmarkStart w:id="133"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33"/>
    <w:bookmarkStart w:id="134"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34"/>
    <w:bookmarkStart w:id="135"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35"/>
    <w:bookmarkStart w:id="136"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36"/>
    <w:bookmarkStart w:id="137"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37"/>
    <w:bookmarkStart w:id="138"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38"/>
    <w:bookmarkStart w:id="139"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39"/>
    <w:bookmarkStart w:id="140"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40"/>
    <w:bookmarkStart w:id="141"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41"/>
    <w:bookmarkStart w:id="142"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42"/>
    <w:bookmarkStart w:id="143"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43"/>
    <w:bookmarkStart w:id="144"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44"/>
    <w:bookmarkEnd w:id="145"/>
    <w:p>
      <w:pPr>
        <w:pStyle w:val="BodyText"/>
      </w:pPr>
    </w:p>
    <w:bookmarkEnd w:id="146"/>
    <w:bookmarkStart w:id="162" w:name="supplemental-results-and-figures"/>
    <w:p>
      <w:pPr>
        <w:pStyle w:val="Heading2"/>
      </w:pPr>
      <w:r>
        <w:t xml:space="preserve">Supplemental Results and Figures</w:t>
      </w:r>
    </w:p>
    <w:bookmarkStart w:id="15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50" w:name="fig-s1"/>
          <w:p>
            <w:pPr>
              <w:pStyle w:val="Figure"/>
              <w:jc w:val="center"/>
            </w:pPr>
            <w:r>
              <w:drawing>
                <wp:inline>
                  <wp:extent cx="6680200" cy="4647095"/>
                  <wp:effectExtent b="0" l="0" r="0" t="0"/>
                  <wp:docPr descr="" title="" id="148" name="Picture"/>
                  <a:graphic>
                    <a:graphicData uri="http://schemas.openxmlformats.org/drawingml/2006/picture">
                      <pic:pic>
                        <pic:nvPicPr>
                          <pic:cNvPr descr="ms_files/figure-docx/fig-s1-1.png" id="149" name="Picture"/>
                          <pic:cNvPicPr>
                            <a:picLocks noChangeArrowheads="1" noChangeAspect="1"/>
                          </pic:cNvPicPr>
                        </pic:nvPicPr>
                        <pic:blipFill>
                          <a:blip r:embed="rId14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50"/>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51"/>
    <w:bookmarkStart w:id="15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55" w:name="fig-s3"/>
          <w:p>
            <w:pPr>
              <w:pStyle w:val="Figure"/>
              <w:jc w:val="center"/>
            </w:pPr>
            <w:r>
              <w:drawing>
                <wp:inline>
                  <wp:extent cx="6680200" cy="2379821"/>
                  <wp:effectExtent b="0" l="0" r="0" t="0"/>
                  <wp:docPr descr="" title="" id="153" name="Picture"/>
                  <a:graphic>
                    <a:graphicData uri="http://schemas.openxmlformats.org/drawingml/2006/picture">
                      <pic:pic>
                        <pic:nvPicPr>
                          <pic:cNvPr descr="ms_files/figure-docx/fig-s3-1.png" id="154" name="Picture"/>
                          <pic:cNvPicPr>
                            <a:picLocks noChangeArrowheads="1" noChangeAspect="1"/>
                          </pic:cNvPicPr>
                        </pic:nvPicPr>
                        <pic:blipFill>
                          <a:blip r:embed="rId15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55"/>
        </w:tc>
      </w:tr>
    </w:tbl>
    <w:bookmarkEnd w:id="156"/>
    <w:bookmarkStart w:id="16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60" w:name="fig-s2"/>
          <w:p>
            <w:pPr>
              <w:pStyle w:val="Figure"/>
              <w:jc w:val="center"/>
            </w:pPr>
            <w:r>
              <w:drawing>
                <wp:inline>
                  <wp:extent cx="6680200" cy="2788257"/>
                  <wp:effectExtent b="0" l="0" r="0" t="0"/>
                  <wp:docPr descr="" title="" id="158" name="Picture"/>
                  <a:graphic>
                    <a:graphicData uri="http://schemas.openxmlformats.org/drawingml/2006/picture">
                      <pic:pic>
                        <pic:nvPicPr>
                          <pic:cNvPr descr="ms_files/figure-docx/fig-s2-1.png" id="159" name="Picture"/>
                          <pic:cNvPicPr>
                            <a:picLocks noChangeArrowheads="1" noChangeAspect="1"/>
                          </pic:cNvPicPr>
                        </pic:nvPicPr>
                        <pic:blipFill>
                          <a:blip r:embed="rId15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60"/>
        </w:tc>
      </w:tr>
    </w:tbl>
    <w:bookmarkEnd w:id="161"/>
    <w:bookmarkEnd w:id="162"/>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147" Target="media/rId147.png" /><Relationship Type="http://schemas.openxmlformats.org/officeDocument/2006/relationships/image" Id="rId157" Target="media/rId157.png" /><Relationship Type="http://schemas.openxmlformats.org/officeDocument/2006/relationships/image" Id="rId152" Target="media/rId15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2023-12-12T03:39:03Z</dcterms:created>
  <dcterms:modified xsi:type="dcterms:W3CDTF">2023-12-12T03:39:03Z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